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2E68C">
      <w:pPr>
        <w:pStyle w:val="11"/>
        <w:pageBreakBefore w:val="0"/>
        <w:tabs>
          <w:tab w:val="center" w:pos="4873"/>
        </w:tabs>
        <w:kinsoku/>
        <w:wordWrap/>
        <w:topLinePunct w:val="0"/>
        <w:bidi w:val="0"/>
        <w:adjustRightInd w:val="0"/>
        <w:snapToGrid w:val="0"/>
        <w:spacing w:line="360" w:lineRule="auto"/>
        <w:ind w:left="0" w:leftChars="0" w:right="0" w:rightChars="0" w:firstLine="0" w:firstLineChars="0"/>
        <w:jc w:val="center"/>
        <w:rPr>
          <w:rFonts w:hint="eastAsia" w:ascii="仿宋" w:hAnsi="仿宋" w:eastAsia="仿宋" w:cs="仿宋"/>
          <w:b/>
          <w:bCs/>
          <w:sz w:val="24"/>
          <w:szCs w:val="24"/>
        </w:rPr>
      </w:pPr>
      <w:r>
        <w:rPr>
          <w:rFonts w:hint="eastAsia" w:ascii="仿宋" w:hAnsi="仿宋" w:eastAsia="仿宋" w:cs="仿宋"/>
          <w:b/>
          <w:bCs/>
          <w:sz w:val="24"/>
          <w:szCs w:val="24"/>
        </w:rPr>
        <w:t>资格评审标准</w:t>
      </w:r>
    </w:p>
    <w:tbl>
      <w:tblPr>
        <w:tblStyle w:val="12"/>
        <w:tblW w:w="50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2737"/>
        <w:gridCol w:w="5335"/>
        <w:gridCol w:w="1210"/>
      </w:tblGrid>
      <w:tr w14:paraId="26FAD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57" w:type="pct"/>
            <w:vAlign w:val="center"/>
          </w:tcPr>
          <w:p w14:paraId="665459A8">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项目</w:t>
            </w:r>
          </w:p>
        </w:tc>
        <w:tc>
          <w:tcPr>
            <w:tcW w:w="1369" w:type="pct"/>
            <w:vAlign w:val="center"/>
          </w:tcPr>
          <w:p w14:paraId="15843A9D">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评审因素</w:t>
            </w:r>
          </w:p>
        </w:tc>
        <w:tc>
          <w:tcPr>
            <w:tcW w:w="2668" w:type="pct"/>
            <w:vAlign w:val="center"/>
          </w:tcPr>
          <w:p w14:paraId="5EE43B44">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评审标准</w:t>
            </w:r>
          </w:p>
        </w:tc>
        <w:tc>
          <w:tcPr>
            <w:tcW w:w="605" w:type="pct"/>
            <w:vAlign w:val="center"/>
          </w:tcPr>
          <w:p w14:paraId="57C5E43E">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是否符合</w:t>
            </w:r>
          </w:p>
        </w:tc>
      </w:tr>
      <w:tr w14:paraId="48398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7" w:type="pct"/>
            <w:vMerge w:val="restart"/>
            <w:textDirection w:val="tbLrV"/>
            <w:vAlign w:val="center"/>
          </w:tcPr>
          <w:p w14:paraId="41328914">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z w:val="24"/>
                <w:szCs w:val="24"/>
              </w:rPr>
              <w:t>资格评审标准</w:t>
            </w:r>
          </w:p>
        </w:tc>
        <w:tc>
          <w:tcPr>
            <w:tcW w:w="1369" w:type="pct"/>
            <w:shd w:val="clear" w:color="auto" w:fill="auto"/>
            <w:vAlign w:val="center"/>
          </w:tcPr>
          <w:p w14:paraId="2806F747">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color w:val="auto"/>
                <w:kern w:val="2"/>
                <w:sz w:val="24"/>
                <w:szCs w:val="24"/>
                <w:highlight w:val="none"/>
                <w:lang w:val="en-US" w:eastAsia="zh-CN" w:bidi="ar-SA"/>
              </w:rPr>
              <w:t>具有独立承担民事责任的能力</w:t>
            </w:r>
          </w:p>
        </w:tc>
        <w:tc>
          <w:tcPr>
            <w:tcW w:w="2668" w:type="pct"/>
            <w:shd w:val="clear" w:color="auto" w:fill="auto"/>
            <w:vAlign w:val="center"/>
          </w:tcPr>
          <w:p w14:paraId="354FC7E5">
            <w:pPr>
              <w:keepNext w:val="0"/>
              <w:keepLines w:val="0"/>
              <w:pageBreakBefore w:val="0"/>
              <w:widowControl w:val="0"/>
              <w:tabs>
                <w:tab w:val="center" w:pos="4873"/>
              </w:tabs>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left"/>
              <w:textAlignment w:val="auto"/>
              <w:rPr>
                <w:rFonts w:hint="eastAsia" w:ascii="仿宋" w:hAnsi="仿宋" w:eastAsia="仿宋" w:cs="仿宋"/>
                <w:sz w:val="24"/>
                <w:szCs w:val="24"/>
                <w:lang w:eastAsia="zh-CN"/>
              </w:rPr>
            </w:pPr>
            <w:r>
              <w:rPr>
                <w:rFonts w:hint="eastAsia" w:ascii="仿宋" w:hAnsi="仿宋" w:eastAsia="仿宋" w:cs="仿宋"/>
                <w:color w:val="auto"/>
                <w:kern w:val="2"/>
                <w:sz w:val="24"/>
                <w:szCs w:val="24"/>
                <w:highlight w:val="none"/>
                <w:lang w:val="en-US" w:eastAsia="zh-CN" w:bidi="ar-SA"/>
              </w:rPr>
              <w:t>须提供合法有效的营业执照</w:t>
            </w:r>
          </w:p>
        </w:tc>
        <w:tc>
          <w:tcPr>
            <w:tcW w:w="605" w:type="pct"/>
            <w:vAlign w:val="center"/>
          </w:tcPr>
          <w:p w14:paraId="1EFE2CAA">
            <w:pPr>
              <w:pageBreakBefore w:val="0"/>
              <w:tabs>
                <w:tab w:val="center" w:pos="4873"/>
              </w:tabs>
              <w:kinsoku/>
              <w:wordWrap/>
              <w:topLinePunct w:val="0"/>
              <w:bidi w:val="0"/>
              <w:adjustRightInd w:val="0"/>
              <w:snapToGrid w:val="0"/>
              <w:spacing w:line="240" w:lineRule="auto"/>
              <w:ind w:left="0" w:leftChars="0" w:right="0" w:rightChars="0" w:firstLine="0" w:firstLineChars="0"/>
              <w:rPr>
                <w:rFonts w:hint="eastAsia" w:ascii="仿宋" w:hAnsi="仿宋" w:eastAsia="仿宋" w:cs="仿宋"/>
                <w:sz w:val="24"/>
                <w:szCs w:val="24"/>
              </w:rPr>
            </w:pPr>
          </w:p>
        </w:tc>
      </w:tr>
      <w:tr w14:paraId="5FDF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7" w:type="pct"/>
            <w:vMerge w:val="continue"/>
            <w:textDirection w:val="tbLrV"/>
            <w:vAlign w:val="center"/>
          </w:tcPr>
          <w:p w14:paraId="45E16418">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p>
        </w:tc>
        <w:tc>
          <w:tcPr>
            <w:tcW w:w="1369" w:type="pct"/>
            <w:shd w:val="clear" w:color="auto" w:fill="auto"/>
            <w:vAlign w:val="center"/>
          </w:tcPr>
          <w:p w14:paraId="7E80C515">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color w:val="auto"/>
                <w:kern w:val="2"/>
                <w:sz w:val="24"/>
                <w:szCs w:val="24"/>
                <w:highlight w:val="none"/>
                <w:lang w:val="en-US" w:eastAsia="zh-CN" w:bidi="ar-SA"/>
              </w:rPr>
              <w:t>具有良好的商业信誉和健全的财务会计制度</w:t>
            </w:r>
          </w:p>
        </w:tc>
        <w:tc>
          <w:tcPr>
            <w:tcW w:w="2668" w:type="pct"/>
            <w:shd w:val="clear" w:color="auto" w:fill="auto"/>
            <w:vAlign w:val="center"/>
          </w:tcPr>
          <w:p w14:paraId="01F0449B">
            <w:pPr>
              <w:keepNext w:val="0"/>
              <w:keepLines w:val="0"/>
              <w:pageBreakBefore w:val="0"/>
              <w:widowControl w:val="0"/>
              <w:tabs>
                <w:tab w:val="center" w:pos="4873"/>
              </w:tabs>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left"/>
              <w:textAlignment w:val="auto"/>
              <w:rPr>
                <w:rFonts w:hint="eastAsia" w:ascii="仿宋" w:hAnsi="仿宋" w:eastAsia="仿宋" w:cs="仿宋"/>
                <w:sz w:val="24"/>
                <w:szCs w:val="24"/>
                <w:lang w:eastAsia="zh-CN"/>
              </w:rPr>
            </w:pPr>
            <w:r>
              <w:rPr>
                <w:rFonts w:hint="eastAsia" w:ascii="仿宋" w:hAnsi="仿宋" w:eastAsia="仿宋" w:cs="仿宋"/>
                <w:color w:val="auto"/>
                <w:kern w:val="2"/>
                <w:sz w:val="24"/>
                <w:szCs w:val="24"/>
                <w:highlight w:val="none"/>
                <w:lang w:val="en-US" w:eastAsia="zh-CN" w:bidi="ar-SA"/>
              </w:rPr>
              <w:t>须提供2025年度经会计师事务所或审计机构出具的财务审计报告或财务报表（包括资产负表、现金流量表、利润表（成立不足一年的，须提供成立至今的财务报表）</w:t>
            </w:r>
          </w:p>
        </w:tc>
        <w:tc>
          <w:tcPr>
            <w:tcW w:w="605" w:type="pct"/>
            <w:vAlign w:val="center"/>
          </w:tcPr>
          <w:p w14:paraId="5697BE5C">
            <w:pPr>
              <w:pageBreakBefore w:val="0"/>
              <w:tabs>
                <w:tab w:val="center" w:pos="4873"/>
              </w:tabs>
              <w:kinsoku/>
              <w:wordWrap/>
              <w:topLinePunct w:val="0"/>
              <w:bidi w:val="0"/>
              <w:adjustRightInd w:val="0"/>
              <w:snapToGrid w:val="0"/>
              <w:spacing w:line="240" w:lineRule="auto"/>
              <w:ind w:left="0" w:leftChars="0" w:right="0" w:rightChars="0" w:firstLine="0" w:firstLineChars="0"/>
              <w:rPr>
                <w:rFonts w:hint="eastAsia" w:ascii="仿宋" w:hAnsi="仿宋" w:eastAsia="仿宋" w:cs="仿宋"/>
                <w:sz w:val="24"/>
                <w:szCs w:val="24"/>
              </w:rPr>
            </w:pPr>
          </w:p>
        </w:tc>
      </w:tr>
      <w:tr w14:paraId="29BF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7" w:type="pct"/>
            <w:vMerge w:val="continue"/>
            <w:textDirection w:val="tbLrV"/>
            <w:vAlign w:val="center"/>
          </w:tcPr>
          <w:p w14:paraId="1FE8C7A4">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p>
        </w:tc>
        <w:tc>
          <w:tcPr>
            <w:tcW w:w="1369" w:type="pct"/>
            <w:shd w:val="clear" w:color="auto" w:fill="auto"/>
            <w:vAlign w:val="center"/>
          </w:tcPr>
          <w:p w14:paraId="0856AF92">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color w:val="auto"/>
                <w:kern w:val="2"/>
                <w:sz w:val="24"/>
                <w:szCs w:val="24"/>
                <w:highlight w:val="none"/>
                <w:lang w:val="en-US" w:eastAsia="zh-CN" w:bidi="ar-SA"/>
              </w:rPr>
              <w:t>具有履行合同所必需的设备和专业技术能力</w:t>
            </w:r>
          </w:p>
        </w:tc>
        <w:tc>
          <w:tcPr>
            <w:tcW w:w="2668" w:type="pct"/>
            <w:shd w:val="clear" w:color="auto" w:fill="auto"/>
            <w:vAlign w:val="center"/>
          </w:tcPr>
          <w:p w14:paraId="50CD6C85">
            <w:pPr>
              <w:keepNext w:val="0"/>
              <w:keepLines w:val="0"/>
              <w:pageBreakBefore w:val="0"/>
              <w:widowControl w:val="0"/>
              <w:tabs>
                <w:tab w:val="center" w:pos="4873"/>
              </w:tabs>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left"/>
              <w:textAlignment w:val="auto"/>
              <w:rPr>
                <w:rFonts w:hint="eastAsia" w:ascii="仿宋" w:hAnsi="仿宋" w:eastAsia="仿宋" w:cs="仿宋"/>
                <w:sz w:val="24"/>
                <w:szCs w:val="24"/>
                <w:lang w:eastAsia="zh-CN"/>
              </w:rPr>
            </w:pPr>
            <w:r>
              <w:rPr>
                <w:rFonts w:hint="eastAsia" w:ascii="仿宋" w:hAnsi="仿宋" w:eastAsia="仿宋" w:cs="仿宋"/>
                <w:color w:val="auto"/>
                <w:kern w:val="2"/>
                <w:sz w:val="24"/>
                <w:szCs w:val="24"/>
                <w:highlight w:val="none"/>
                <w:lang w:val="en-US" w:eastAsia="zh-CN" w:bidi="ar-SA"/>
              </w:rPr>
              <w:t>须提供履行合同所必需的设备和专业技术能力的书面声明</w:t>
            </w:r>
          </w:p>
        </w:tc>
        <w:tc>
          <w:tcPr>
            <w:tcW w:w="605" w:type="pct"/>
            <w:vAlign w:val="center"/>
          </w:tcPr>
          <w:p w14:paraId="5B1EF327">
            <w:pPr>
              <w:pageBreakBefore w:val="0"/>
              <w:tabs>
                <w:tab w:val="center" w:pos="4873"/>
              </w:tabs>
              <w:kinsoku/>
              <w:wordWrap/>
              <w:topLinePunct w:val="0"/>
              <w:bidi w:val="0"/>
              <w:adjustRightInd w:val="0"/>
              <w:snapToGrid w:val="0"/>
              <w:spacing w:line="240" w:lineRule="auto"/>
              <w:ind w:left="0" w:leftChars="0" w:right="0" w:rightChars="0" w:firstLine="0" w:firstLineChars="0"/>
              <w:rPr>
                <w:rFonts w:hint="eastAsia" w:ascii="仿宋" w:hAnsi="仿宋" w:eastAsia="仿宋" w:cs="仿宋"/>
                <w:sz w:val="24"/>
                <w:szCs w:val="24"/>
              </w:rPr>
            </w:pPr>
          </w:p>
        </w:tc>
      </w:tr>
      <w:tr w14:paraId="1682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7" w:type="pct"/>
            <w:vMerge w:val="continue"/>
            <w:textDirection w:val="tbLrV"/>
            <w:vAlign w:val="center"/>
          </w:tcPr>
          <w:p w14:paraId="2781A703">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p>
        </w:tc>
        <w:tc>
          <w:tcPr>
            <w:tcW w:w="1369" w:type="pct"/>
            <w:shd w:val="clear" w:color="auto" w:fill="auto"/>
            <w:vAlign w:val="center"/>
          </w:tcPr>
          <w:p w14:paraId="61F790E5">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color w:val="auto"/>
                <w:kern w:val="2"/>
                <w:sz w:val="24"/>
                <w:szCs w:val="24"/>
                <w:highlight w:val="none"/>
                <w:lang w:val="en-US" w:eastAsia="zh-CN" w:bidi="ar-SA"/>
              </w:rPr>
              <w:t>有依法缴纳税收和社会保障资金的良好记录</w:t>
            </w:r>
          </w:p>
        </w:tc>
        <w:tc>
          <w:tcPr>
            <w:tcW w:w="2668" w:type="pct"/>
            <w:shd w:val="clear" w:color="auto" w:fill="auto"/>
            <w:vAlign w:val="center"/>
          </w:tcPr>
          <w:p w14:paraId="3D4F049E">
            <w:pPr>
              <w:keepNext w:val="0"/>
              <w:keepLines w:val="0"/>
              <w:pageBreakBefore w:val="0"/>
              <w:widowControl w:val="0"/>
              <w:tabs>
                <w:tab w:val="center" w:pos="4873"/>
              </w:tabs>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left"/>
              <w:textAlignment w:val="auto"/>
              <w:rPr>
                <w:rFonts w:hint="eastAsia" w:ascii="仿宋" w:hAnsi="仿宋" w:eastAsia="仿宋" w:cs="仿宋"/>
                <w:sz w:val="24"/>
                <w:szCs w:val="24"/>
                <w:lang w:eastAsia="zh-CN"/>
              </w:rPr>
            </w:pPr>
            <w:r>
              <w:rPr>
                <w:rFonts w:hint="eastAsia" w:ascii="仿宋" w:hAnsi="仿宋" w:eastAsia="仿宋" w:cs="仿宋"/>
                <w:color w:val="auto"/>
                <w:kern w:val="2"/>
                <w:sz w:val="24"/>
                <w:szCs w:val="24"/>
                <w:highlight w:val="none"/>
                <w:lang w:val="en-US" w:eastAsia="zh-CN" w:bidi="ar-SA"/>
              </w:rPr>
              <w:t>提供参加本次政府采购活动近半年内任意一个月的依法缴纳税收和社会保障资金的相关材料</w:t>
            </w:r>
          </w:p>
        </w:tc>
        <w:tc>
          <w:tcPr>
            <w:tcW w:w="605" w:type="pct"/>
            <w:vAlign w:val="center"/>
          </w:tcPr>
          <w:p w14:paraId="17BBEECE">
            <w:pPr>
              <w:pageBreakBefore w:val="0"/>
              <w:tabs>
                <w:tab w:val="center" w:pos="4873"/>
              </w:tabs>
              <w:kinsoku/>
              <w:wordWrap/>
              <w:topLinePunct w:val="0"/>
              <w:bidi w:val="0"/>
              <w:adjustRightInd w:val="0"/>
              <w:snapToGrid w:val="0"/>
              <w:spacing w:line="240" w:lineRule="auto"/>
              <w:ind w:left="0" w:leftChars="0" w:right="0" w:rightChars="0" w:firstLine="0" w:firstLineChars="0"/>
              <w:rPr>
                <w:rFonts w:hint="eastAsia" w:ascii="仿宋" w:hAnsi="仿宋" w:eastAsia="仿宋" w:cs="仿宋"/>
                <w:sz w:val="24"/>
                <w:szCs w:val="24"/>
              </w:rPr>
            </w:pPr>
          </w:p>
        </w:tc>
      </w:tr>
      <w:tr w14:paraId="45032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7" w:type="pct"/>
            <w:vMerge w:val="continue"/>
            <w:textDirection w:val="tbLrV"/>
            <w:vAlign w:val="center"/>
          </w:tcPr>
          <w:p w14:paraId="3BF20581">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p>
        </w:tc>
        <w:tc>
          <w:tcPr>
            <w:tcW w:w="1369" w:type="pct"/>
            <w:shd w:val="clear" w:color="auto" w:fill="auto"/>
            <w:vAlign w:val="center"/>
          </w:tcPr>
          <w:p w14:paraId="1672D592">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color w:val="auto"/>
                <w:kern w:val="2"/>
                <w:sz w:val="24"/>
                <w:szCs w:val="24"/>
                <w:highlight w:val="none"/>
                <w:lang w:val="en-US" w:eastAsia="zh-CN" w:bidi="ar-SA"/>
              </w:rPr>
              <w:t>参加政府采购活动近三年内，在经营活动中无重大违法记录</w:t>
            </w:r>
          </w:p>
        </w:tc>
        <w:tc>
          <w:tcPr>
            <w:tcW w:w="2668" w:type="pct"/>
            <w:shd w:val="clear" w:color="auto" w:fill="auto"/>
            <w:vAlign w:val="center"/>
          </w:tcPr>
          <w:p w14:paraId="1C9A67F0">
            <w:pPr>
              <w:keepNext w:val="0"/>
              <w:keepLines w:val="0"/>
              <w:pageBreakBefore w:val="0"/>
              <w:widowControl w:val="0"/>
              <w:tabs>
                <w:tab w:val="center" w:pos="4873"/>
              </w:tabs>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left"/>
              <w:textAlignment w:val="auto"/>
              <w:rPr>
                <w:rFonts w:hint="eastAsia" w:ascii="仿宋" w:hAnsi="仿宋" w:eastAsia="仿宋" w:cs="仿宋"/>
                <w:sz w:val="24"/>
                <w:szCs w:val="24"/>
                <w:lang w:eastAsia="zh-CN"/>
              </w:rPr>
            </w:pPr>
            <w:r>
              <w:rPr>
                <w:rFonts w:hint="eastAsia" w:ascii="仿宋" w:hAnsi="仿宋" w:eastAsia="仿宋" w:cs="仿宋"/>
                <w:color w:val="auto"/>
                <w:kern w:val="2"/>
                <w:sz w:val="24"/>
                <w:szCs w:val="24"/>
                <w:highlight w:val="none"/>
                <w:lang w:val="en-US" w:eastAsia="zh-CN" w:bidi="ar-SA"/>
              </w:rPr>
              <w:t>须提供参加本次政府采购活动近3年内在经营活动中无重大违法记录的书面声明</w:t>
            </w:r>
          </w:p>
        </w:tc>
        <w:tc>
          <w:tcPr>
            <w:tcW w:w="605" w:type="pct"/>
            <w:vAlign w:val="center"/>
          </w:tcPr>
          <w:p w14:paraId="7A373CDF">
            <w:pPr>
              <w:pageBreakBefore w:val="0"/>
              <w:tabs>
                <w:tab w:val="center" w:pos="4873"/>
              </w:tabs>
              <w:kinsoku/>
              <w:wordWrap/>
              <w:topLinePunct w:val="0"/>
              <w:bidi w:val="0"/>
              <w:adjustRightInd w:val="0"/>
              <w:snapToGrid w:val="0"/>
              <w:spacing w:line="240" w:lineRule="auto"/>
              <w:ind w:left="0" w:leftChars="0" w:right="0" w:rightChars="0" w:firstLine="0" w:firstLineChars="0"/>
              <w:rPr>
                <w:rFonts w:hint="eastAsia" w:ascii="仿宋" w:hAnsi="仿宋" w:eastAsia="仿宋" w:cs="仿宋"/>
                <w:sz w:val="24"/>
                <w:szCs w:val="24"/>
              </w:rPr>
            </w:pPr>
          </w:p>
        </w:tc>
      </w:tr>
      <w:tr w14:paraId="286F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7" w:type="pct"/>
            <w:vMerge w:val="continue"/>
            <w:textDirection w:val="tbLrV"/>
            <w:vAlign w:val="center"/>
          </w:tcPr>
          <w:p w14:paraId="2244C820">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p>
          <w:p w14:paraId="215B1011">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p>
        </w:tc>
        <w:tc>
          <w:tcPr>
            <w:tcW w:w="1369" w:type="pct"/>
            <w:shd w:val="clear" w:color="auto" w:fill="auto"/>
            <w:vAlign w:val="center"/>
          </w:tcPr>
          <w:p w14:paraId="396D2F07">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color w:val="auto"/>
                <w:kern w:val="2"/>
                <w:sz w:val="24"/>
                <w:szCs w:val="24"/>
                <w:highlight w:val="none"/>
                <w:lang w:val="en-US" w:eastAsia="zh-CN" w:bidi="ar-SA"/>
              </w:rPr>
              <w:t>法律、行政法规规定的其他条件</w:t>
            </w:r>
          </w:p>
        </w:tc>
        <w:tc>
          <w:tcPr>
            <w:tcW w:w="2668" w:type="pct"/>
            <w:shd w:val="clear" w:color="auto" w:fill="auto"/>
            <w:vAlign w:val="center"/>
          </w:tcPr>
          <w:p w14:paraId="3070FE43">
            <w:pPr>
              <w:keepNext w:val="0"/>
              <w:keepLines w:val="0"/>
              <w:pageBreakBefore w:val="0"/>
              <w:widowControl w:val="0"/>
              <w:tabs>
                <w:tab w:val="center" w:pos="4873"/>
              </w:tabs>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left"/>
              <w:textAlignment w:val="auto"/>
              <w:rPr>
                <w:rFonts w:hint="eastAsia" w:ascii="仿宋" w:hAnsi="仿宋" w:eastAsia="仿宋" w:cs="仿宋"/>
                <w:sz w:val="24"/>
                <w:szCs w:val="24"/>
                <w:lang w:eastAsia="zh-CN"/>
              </w:rPr>
            </w:pPr>
            <w:r>
              <w:rPr>
                <w:rFonts w:hint="eastAsia" w:ascii="仿宋" w:hAnsi="仿宋" w:eastAsia="仿宋" w:cs="仿宋"/>
                <w:color w:val="auto"/>
                <w:kern w:val="2"/>
                <w:sz w:val="24"/>
                <w:szCs w:val="24"/>
                <w:highlight w:val="none"/>
                <w:lang w:val="en-US" w:eastAsia="zh-CN" w:bidi="ar-SA"/>
              </w:rPr>
              <w:t>须提供承诺函，格式自拟</w:t>
            </w:r>
          </w:p>
        </w:tc>
        <w:tc>
          <w:tcPr>
            <w:tcW w:w="605" w:type="pct"/>
            <w:vAlign w:val="center"/>
          </w:tcPr>
          <w:p w14:paraId="0CA0DC78">
            <w:pPr>
              <w:pageBreakBefore w:val="0"/>
              <w:tabs>
                <w:tab w:val="center" w:pos="4873"/>
              </w:tabs>
              <w:kinsoku/>
              <w:wordWrap/>
              <w:topLinePunct w:val="0"/>
              <w:bidi w:val="0"/>
              <w:adjustRightInd w:val="0"/>
              <w:snapToGrid w:val="0"/>
              <w:spacing w:line="240" w:lineRule="auto"/>
              <w:ind w:left="0" w:leftChars="0" w:right="0" w:rightChars="0" w:firstLine="0" w:firstLineChars="0"/>
              <w:rPr>
                <w:rFonts w:hint="eastAsia" w:ascii="仿宋" w:hAnsi="仿宋" w:eastAsia="仿宋" w:cs="仿宋"/>
                <w:sz w:val="24"/>
                <w:szCs w:val="24"/>
              </w:rPr>
            </w:pPr>
          </w:p>
        </w:tc>
      </w:tr>
      <w:tr w14:paraId="0ACE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7" w:type="pct"/>
            <w:vMerge w:val="continue"/>
            <w:textDirection w:val="tbLrV"/>
            <w:vAlign w:val="center"/>
          </w:tcPr>
          <w:p w14:paraId="4FBAF875">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p>
        </w:tc>
        <w:tc>
          <w:tcPr>
            <w:tcW w:w="1369" w:type="pct"/>
            <w:shd w:val="clear" w:color="auto" w:fill="auto"/>
            <w:vAlign w:val="center"/>
          </w:tcPr>
          <w:p w14:paraId="62B21648">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企业资质</w:t>
            </w:r>
          </w:p>
        </w:tc>
        <w:tc>
          <w:tcPr>
            <w:tcW w:w="2668" w:type="pct"/>
            <w:shd w:val="clear" w:color="auto" w:fill="auto"/>
            <w:vAlign w:val="center"/>
          </w:tcPr>
          <w:p w14:paraId="56376C2B">
            <w:pPr>
              <w:keepNext w:val="0"/>
              <w:keepLines w:val="0"/>
              <w:pageBreakBefore w:val="0"/>
              <w:widowControl w:val="0"/>
              <w:tabs>
                <w:tab w:val="center" w:pos="4873"/>
              </w:tabs>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left"/>
              <w:textAlignment w:val="auto"/>
              <w:rPr>
                <w:rFonts w:hint="eastAsia" w:ascii="仿宋" w:hAnsi="仿宋" w:eastAsia="仿宋" w:cs="仿宋"/>
                <w:sz w:val="24"/>
                <w:szCs w:val="24"/>
                <w:lang w:eastAsia="zh-CN"/>
              </w:rPr>
            </w:pPr>
            <w:r>
              <w:rPr>
                <w:rFonts w:hint="eastAsia" w:ascii="仿宋" w:hAnsi="仿宋" w:eastAsia="仿宋" w:cs="仿宋"/>
                <w:color w:val="auto"/>
                <w:kern w:val="2"/>
                <w:sz w:val="24"/>
                <w:szCs w:val="24"/>
                <w:highlight w:val="none"/>
                <w:lang w:val="en-US" w:eastAsia="zh-CN" w:bidi="ar-SA"/>
              </w:rPr>
              <w:t>供应商具备施工劳务资质备案、具有有效的安全生产许可证。并在人员、设备、资金等方面具有相应的履约能力（须提供承诺函，格式自拟）；</w:t>
            </w:r>
          </w:p>
        </w:tc>
        <w:tc>
          <w:tcPr>
            <w:tcW w:w="605" w:type="pct"/>
            <w:vAlign w:val="center"/>
          </w:tcPr>
          <w:p w14:paraId="2F5812D8">
            <w:pPr>
              <w:pageBreakBefore w:val="0"/>
              <w:tabs>
                <w:tab w:val="center" w:pos="4873"/>
              </w:tabs>
              <w:kinsoku/>
              <w:wordWrap/>
              <w:topLinePunct w:val="0"/>
              <w:bidi w:val="0"/>
              <w:adjustRightInd w:val="0"/>
              <w:snapToGrid w:val="0"/>
              <w:spacing w:line="240" w:lineRule="auto"/>
              <w:ind w:left="0" w:leftChars="0" w:right="0" w:rightChars="0" w:firstLine="0" w:firstLineChars="0"/>
              <w:rPr>
                <w:rFonts w:hint="eastAsia" w:ascii="仿宋" w:hAnsi="仿宋" w:eastAsia="仿宋" w:cs="仿宋"/>
                <w:sz w:val="24"/>
                <w:szCs w:val="24"/>
              </w:rPr>
            </w:pPr>
          </w:p>
        </w:tc>
      </w:tr>
      <w:tr w14:paraId="5BE85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7" w:type="pct"/>
            <w:vMerge w:val="continue"/>
            <w:textDirection w:val="tbLrV"/>
            <w:vAlign w:val="center"/>
          </w:tcPr>
          <w:p w14:paraId="3F0D9EEC">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p>
        </w:tc>
        <w:tc>
          <w:tcPr>
            <w:tcW w:w="1369" w:type="pct"/>
            <w:shd w:val="clear" w:color="auto" w:fill="auto"/>
            <w:vAlign w:val="center"/>
          </w:tcPr>
          <w:p w14:paraId="591C9809">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color w:val="auto"/>
                <w:kern w:val="2"/>
                <w:sz w:val="24"/>
                <w:szCs w:val="24"/>
                <w:highlight w:val="none"/>
                <w:lang w:val="en-US" w:eastAsia="zh-CN" w:bidi="ar-SA"/>
              </w:rPr>
              <w:t>类似业绩要求</w:t>
            </w:r>
          </w:p>
        </w:tc>
        <w:tc>
          <w:tcPr>
            <w:tcW w:w="2668" w:type="pct"/>
            <w:shd w:val="clear" w:color="auto" w:fill="auto"/>
            <w:vAlign w:val="center"/>
          </w:tcPr>
          <w:p w14:paraId="3F51E3CD">
            <w:pPr>
              <w:keepNext w:val="0"/>
              <w:keepLines w:val="0"/>
              <w:pageBreakBefore w:val="0"/>
              <w:widowControl w:val="0"/>
              <w:tabs>
                <w:tab w:val="center" w:pos="4873"/>
              </w:tabs>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left"/>
              <w:textAlignment w:val="auto"/>
              <w:rPr>
                <w:rFonts w:hint="eastAsia" w:ascii="仿宋" w:hAnsi="仿宋" w:eastAsia="仿宋" w:cs="仿宋"/>
                <w:sz w:val="24"/>
                <w:szCs w:val="24"/>
                <w:lang w:eastAsia="zh-CN"/>
              </w:rPr>
            </w:pPr>
            <w:r>
              <w:rPr>
                <w:rFonts w:hint="eastAsia" w:ascii="仿宋" w:hAnsi="仿宋" w:eastAsia="仿宋" w:cs="仿宋"/>
                <w:color w:val="auto"/>
                <w:kern w:val="2"/>
                <w:sz w:val="24"/>
                <w:szCs w:val="24"/>
                <w:highlight w:val="none"/>
                <w:lang w:val="en-US" w:eastAsia="zh-CN" w:bidi="ar-SA"/>
              </w:rPr>
              <w:t>供应商近3年（指2023年度至今）至少有一项类似业绩（须提供中标通知书复印件或合同复印件）</w:t>
            </w:r>
          </w:p>
        </w:tc>
        <w:tc>
          <w:tcPr>
            <w:tcW w:w="605" w:type="pct"/>
            <w:vAlign w:val="center"/>
          </w:tcPr>
          <w:p w14:paraId="03D000CB">
            <w:pPr>
              <w:pageBreakBefore w:val="0"/>
              <w:tabs>
                <w:tab w:val="center" w:pos="4873"/>
              </w:tabs>
              <w:kinsoku/>
              <w:wordWrap/>
              <w:topLinePunct w:val="0"/>
              <w:bidi w:val="0"/>
              <w:adjustRightInd w:val="0"/>
              <w:snapToGrid w:val="0"/>
              <w:spacing w:line="240" w:lineRule="auto"/>
              <w:ind w:left="0" w:leftChars="0" w:right="0" w:rightChars="0" w:firstLine="0" w:firstLineChars="0"/>
              <w:rPr>
                <w:rFonts w:hint="eastAsia" w:ascii="仿宋" w:hAnsi="仿宋" w:eastAsia="仿宋" w:cs="仿宋"/>
                <w:sz w:val="24"/>
                <w:szCs w:val="24"/>
              </w:rPr>
            </w:pPr>
          </w:p>
        </w:tc>
      </w:tr>
      <w:tr w14:paraId="66C5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357" w:type="pct"/>
            <w:vMerge w:val="continue"/>
            <w:textDirection w:val="tbLrV"/>
            <w:vAlign w:val="center"/>
          </w:tcPr>
          <w:p w14:paraId="2F96D541">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p>
        </w:tc>
        <w:tc>
          <w:tcPr>
            <w:tcW w:w="1369" w:type="pct"/>
            <w:shd w:val="clear" w:color="auto" w:fill="auto"/>
            <w:vAlign w:val="center"/>
          </w:tcPr>
          <w:p w14:paraId="0643FB28">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z w:val="24"/>
                <w:szCs w:val="24"/>
              </w:rPr>
              <w:t>信用证明</w:t>
            </w:r>
          </w:p>
        </w:tc>
        <w:tc>
          <w:tcPr>
            <w:tcW w:w="2668" w:type="pct"/>
            <w:shd w:val="clear" w:color="auto" w:fill="auto"/>
            <w:vAlign w:val="center"/>
          </w:tcPr>
          <w:p w14:paraId="3AD759EB">
            <w:pPr>
              <w:keepNext w:val="0"/>
              <w:keepLines w:val="0"/>
              <w:pageBreakBefore w:val="0"/>
              <w:widowControl w:val="0"/>
              <w:tabs>
                <w:tab w:val="center" w:pos="4873"/>
              </w:tabs>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left"/>
              <w:textAlignment w:val="auto"/>
              <w:rPr>
                <w:rFonts w:hint="eastAsia" w:ascii="仿宋" w:hAnsi="仿宋" w:eastAsia="仿宋" w:cs="仿宋"/>
                <w:sz w:val="24"/>
                <w:szCs w:val="24"/>
              </w:rPr>
            </w:pPr>
            <w:r>
              <w:rPr>
                <w:rFonts w:hint="eastAsia" w:ascii="仿宋" w:hAnsi="仿宋" w:eastAsia="仿宋" w:cs="仿宋"/>
                <w:color w:val="auto"/>
                <w:kern w:val="2"/>
                <w:sz w:val="24"/>
                <w:szCs w:val="24"/>
                <w:highlight w:val="none"/>
                <w:lang w:val="en-US" w:eastAsia="zh-CN" w:bidi="ar-SA"/>
              </w:rPr>
              <w:t>供应商未被“信用中国”网站（ www.creditchina.gov.cn） 列入失信被执行人、重大税收违法失信主体及中国政府采购网（http：//www.ccgp.gov.cn/search/cr/）严重违法失信行为记录名单（注：以上查询须提供相关截图，截图时间在本项目招标公告发布日期之后；投标人自行决定截图的时间显示区域（例如：打印页或截图时电脑时间等均可））</w:t>
            </w:r>
          </w:p>
        </w:tc>
        <w:tc>
          <w:tcPr>
            <w:tcW w:w="605" w:type="pct"/>
            <w:vAlign w:val="center"/>
          </w:tcPr>
          <w:p w14:paraId="445098A4">
            <w:pPr>
              <w:pageBreakBefore w:val="0"/>
              <w:tabs>
                <w:tab w:val="center" w:pos="4873"/>
              </w:tabs>
              <w:kinsoku/>
              <w:wordWrap/>
              <w:topLinePunct w:val="0"/>
              <w:bidi w:val="0"/>
              <w:adjustRightInd w:val="0"/>
              <w:snapToGrid w:val="0"/>
              <w:spacing w:line="240" w:lineRule="auto"/>
              <w:ind w:left="0" w:leftChars="0" w:right="0" w:rightChars="0" w:firstLine="0" w:firstLineChars="0"/>
              <w:rPr>
                <w:rFonts w:hint="eastAsia" w:ascii="仿宋" w:hAnsi="仿宋" w:eastAsia="仿宋" w:cs="仿宋"/>
                <w:sz w:val="24"/>
                <w:szCs w:val="24"/>
              </w:rPr>
            </w:pPr>
          </w:p>
        </w:tc>
      </w:tr>
      <w:tr w14:paraId="07FB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357" w:type="pct"/>
            <w:vMerge w:val="continue"/>
            <w:textDirection w:val="tbLrV"/>
            <w:vAlign w:val="center"/>
          </w:tcPr>
          <w:p w14:paraId="50B7A3B2">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p>
        </w:tc>
        <w:tc>
          <w:tcPr>
            <w:tcW w:w="1369" w:type="pct"/>
            <w:shd w:val="clear" w:color="auto" w:fill="auto"/>
            <w:vAlign w:val="center"/>
          </w:tcPr>
          <w:p w14:paraId="1B7DB4C4">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z w:val="24"/>
                <w:szCs w:val="24"/>
              </w:rPr>
              <w:t>其他情形</w:t>
            </w:r>
          </w:p>
        </w:tc>
        <w:tc>
          <w:tcPr>
            <w:tcW w:w="2668" w:type="pct"/>
            <w:shd w:val="clear" w:color="auto" w:fill="auto"/>
            <w:vAlign w:val="center"/>
          </w:tcPr>
          <w:p w14:paraId="62653C96">
            <w:pPr>
              <w:keepNext w:val="0"/>
              <w:keepLines w:val="0"/>
              <w:pageBreakBefore w:val="0"/>
              <w:widowControl w:val="0"/>
              <w:tabs>
                <w:tab w:val="center" w:pos="4873"/>
              </w:tabs>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left"/>
              <w:textAlignment w:val="auto"/>
              <w:rPr>
                <w:rFonts w:hint="eastAsia" w:ascii="仿宋" w:hAnsi="仿宋" w:eastAsia="仿宋" w:cs="仿宋"/>
                <w:sz w:val="24"/>
                <w:szCs w:val="24"/>
              </w:rPr>
            </w:pPr>
            <w:r>
              <w:rPr>
                <w:rFonts w:hint="eastAsia" w:ascii="仿宋" w:hAnsi="仿宋" w:eastAsia="仿宋" w:cs="仿宋"/>
                <w:color w:val="auto"/>
                <w:kern w:val="2"/>
                <w:sz w:val="24"/>
                <w:szCs w:val="24"/>
                <w:highlight w:val="none"/>
                <w:lang w:val="en-US" w:eastAsia="zh-CN" w:bidi="ar-SA"/>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须提供承诺函，格式自拟）</w:t>
            </w:r>
          </w:p>
        </w:tc>
        <w:tc>
          <w:tcPr>
            <w:tcW w:w="605" w:type="pct"/>
            <w:vAlign w:val="center"/>
          </w:tcPr>
          <w:p w14:paraId="4DF34EAA">
            <w:pPr>
              <w:pageBreakBefore w:val="0"/>
              <w:tabs>
                <w:tab w:val="center" w:pos="4873"/>
              </w:tabs>
              <w:kinsoku/>
              <w:wordWrap/>
              <w:topLinePunct w:val="0"/>
              <w:bidi w:val="0"/>
              <w:adjustRightInd w:val="0"/>
              <w:snapToGrid w:val="0"/>
              <w:spacing w:line="240" w:lineRule="auto"/>
              <w:ind w:left="0" w:leftChars="0" w:right="0" w:rightChars="0" w:firstLine="0" w:firstLineChars="0"/>
              <w:rPr>
                <w:rFonts w:hint="eastAsia" w:ascii="仿宋" w:hAnsi="仿宋" w:eastAsia="仿宋" w:cs="仿宋"/>
                <w:sz w:val="24"/>
                <w:szCs w:val="24"/>
              </w:rPr>
            </w:pPr>
          </w:p>
        </w:tc>
      </w:tr>
      <w:tr w14:paraId="0258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357" w:type="pct"/>
            <w:vMerge w:val="continue"/>
            <w:textDirection w:val="tbLrV"/>
            <w:vAlign w:val="center"/>
          </w:tcPr>
          <w:p w14:paraId="076F5D19">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p>
        </w:tc>
        <w:tc>
          <w:tcPr>
            <w:tcW w:w="1369" w:type="pct"/>
            <w:shd w:val="clear" w:color="auto" w:fill="auto"/>
            <w:vAlign w:val="center"/>
          </w:tcPr>
          <w:p w14:paraId="73963BB1">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z w:val="24"/>
                <w:szCs w:val="24"/>
              </w:rPr>
              <w:t>联合体投标</w:t>
            </w:r>
          </w:p>
        </w:tc>
        <w:tc>
          <w:tcPr>
            <w:tcW w:w="2668" w:type="pct"/>
            <w:shd w:val="clear" w:color="auto" w:fill="auto"/>
            <w:vAlign w:val="center"/>
          </w:tcPr>
          <w:p w14:paraId="6F5CF9FD">
            <w:pPr>
              <w:pageBreakBefore w:val="0"/>
              <w:tabs>
                <w:tab w:val="center" w:pos="4873"/>
              </w:tabs>
              <w:kinsoku/>
              <w:wordWrap/>
              <w:topLinePunct w:val="0"/>
              <w:bidi w:val="0"/>
              <w:adjustRightInd w:val="0"/>
              <w:snapToGrid w:val="0"/>
              <w:spacing w:line="240" w:lineRule="auto"/>
              <w:ind w:left="0" w:leftChars="0" w:right="0" w:rightChars="0" w:firstLine="0" w:firstLineChars="0"/>
              <w:rPr>
                <w:rFonts w:hint="eastAsia" w:ascii="仿宋" w:hAnsi="仿宋" w:eastAsia="仿宋" w:cs="仿宋"/>
                <w:sz w:val="24"/>
                <w:szCs w:val="24"/>
              </w:rPr>
            </w:pPr>
            <w:r>
              <w:rPr>
                <w:rFonts w:hint="eastAsia" w:ascii="仿宋" w:hAnsi="仿宋" w:eastAsia="仿宋" w:cs="仿宋"/>
                <w:sz w:val="24"/>
                <w:szCs w:val="24"/>
              </w:rPr>
              <w:t>本项目 不允许 联合体投标。</w:t>
            </w:r>
          </w:p>
        </w:tc>
        <w:tc>
          <w:tcPr>
            <w:tcW w:w="605" w:type="pct"/>
            <w:vAlign w:val="center"/>
          </w:tcPr>
          <w:p w14:paraId="1F59E194">
            <w:pPr>
              <w:pageBreakBefore w:val="0"/>
              <w:tabs>
                <w:tab w:val="center" w:pos="4873"/>
              </w:tabs>
              <w:kinsoku/>
              <w:wordWrap/>
              <w:topLinePunct w:val="0"/>
              <w:bidi w:val="0"/>
              <w:adjustRightInd w:val="0"/>
              <w:snapToGrid w:val="0"/>
              <w:spacing w:line="240" w:lineRule="auto"/>
              <w:ind w:left="0" w:leftChars="0" w:right="0" w:rightChars="0" w:firstLine="0" w:firstLineChars="0"/>
              <w:rPr>
                <w:rFonts w:hint="eastAsia" w:ascii="仿宋" w:hAnsi="仿宋" w:eastAsia="仿宋" w:cs="仿宋"/>
                <w:sz w:val="24"/>
                <w:szCs w:val="24"/>
              </w:rPr>
            </w:pPr>
          </w:p>
        </w:tc>
      </w:tr>
      <w:tr w14:paraId="1A68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7" w:type="pct"/>
            <w:vAlign w:val="center"/>
          </w:tcPr>
          <w:p w14:paraId="2B2A0E60">
            <w:pPr>
              <w:pageBreakBefore w:val="0"/>
              <w:tabs>
                <w:tab w:val="center" w:pos="4873"/>
              </w:tabs>
              <w:kinsoku/>
              <w:wordWrap/>
              <w:topLinePunct w:val="0"/>
              <w:bidi w:val="0"/>
              <w:adjustRightInd w:val="0"/>
              <w:snapToGrid w:val="0"/>
              <w:spacing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z w:val="24"/>
                <w:szCs w:val="24"/>
              </w:rPr>
              <w:t>备注</w:t>
            </w:r>
          </w:p>
        </w:tc>
        <w:tc>
          <w:tcPr>
            <w:tcW w:w="4037" w:type="pct"/>
            <w:gridSpan w:val="2"/>
            <w:vAlign w:val="center"/>
          </w:tcPr>
          <w:p w14:paraId="081EAB25">
            <w:pPr>
              <w:pageBreakBefore w:val="0"/>
              <w:tabs>
                <w:tab w:val="center" w:pos="4873"/>
              </w:tabs>
              <w:kinsoku/>
              <w:wordWrap/>
              <w:topLinePunct w:val="0"/>
              <w:bidi w:val="0"/>
              <w:adjustRightInd w:val="0"/>
              <w:snapToGrid w:val="0"/>
              <w:spacing w:line="240" w:lineRule="auto"/>
              <w:ind w:left="0" w:leftChars="0" w:right="0" w:rightChars="0" w:firstLine="0" w:firstLineChars="0"/>
              <w:rPr>
                <w:rFonts w:hint="eastAsia" w:ascii="仿宋" w:hAnsi="仿宋" w:eastAsia="仿宋" w:cs="仿宋"/>
                <w:sz w:val="24"/>
                <w:szCs w:val="24"/>
              </w:rPr>
            </w:pPr>
            <w:r>
              <w:rPr>
                <w:rFonts w:hint="eastAsia" w:ascii="仿宋" w:hAnsi="仿宋" w:eastAsia="仿宋" w:cs="仿宋"/>
                <w:kern w:val="0"/>
                <w:sz w:val="24"/>
                <w:szCs w:val="24"/>
              </w:rPr>
              <w:t>（1）上述各项中用“√”表示通过，“×”表示不通过；（2）上述各项中如有一项为“×”，则结论为“×”，表示该响应文件中存在重大偏差，不能通过初步评审；评委对某一分项评审认为不合格时，必须要写明原因。（3）供应商的响应文件符合资质审查标准的，进入下一步符合性评审阶段，未通过资质审查标准的，其投标作为无效标，不进入符合性评审阶段。</w:t>
            </w:r>
          </w:p>
        </w:tc>
        <w:tc>
          <w:tcPr>
            <w:tcW w:w="605" w:type="pct"/>
            <w:vAlign w:val="center"/>
          </w:tcPr>
          <w:p w14:paraId="5EDD51D6">
            <w:pPr>
              <w:pageBreakBefore w:val="0"/>
              <w:tabs>
                <w:tab w:val="center" w:pos="4873"/>
              </w:tabs>
              <w:kinsoku/>
              <w:wordWrap/>
              <w:topLinePunct w:val="0"/>
              <w:bidi w:val="0"/>
              <w:adjustRightInd w:val="0"/>
              <w:snapToGrid w:val="0"/>
              <w:spacing w:line="240" w:lineRule="auto"/>
              <w:ind w:left="0" w:leftChars="0" w:right="0" w:rightChars="0" w:firstLine="0" w:firstLineChars="0"/>
              <w:rPr>
                <w:rFonts w:hint="eastAsia" w:ascii="仿宋" w:hAnsi="仿宋" w:eastAsia="仿宋" w:cs="仿宋"/>
                <w:sz w:val="24"/>
                <w:szCs w:val="24"/>
              </w:rPr>
            </w:pPr>
          </w:p>
        </w:tc>
      </w:tr>
    </w:tbl>
    <w:p w14:paraId="5B905808">
      <w:bookmarkStart w:id="0" w:name="_GoBack"/>
      <w:bookmarkEnd w:id="0"/>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2B6772"/>
    <w:multiLevelType w:val="multilevel"/>
    <w:tmpl w:val="712B6772"/>
    <w:lvl w:ilvl="0" w:tentative="0">
      <w:start w:val="1"/>
      <w:numFmt w:val="chineseCounting"/>
      <w:suff w:val="nothing"/>
      <w:lvlText w:val="%1、"/>
      <w:lvlJc w:val="left"/>
      <w:pPr>
        <w:tabs>
          <w:tab w:val="left" w:pos="0"/>
        </w:tabs>
        <w:ind w:left="0" w:firstLine="0"/>
      </w:pPr>
      <w:rPr>
        <w:rFonts w:hint="eastAsia" w:eastAsia="仿宋"/>
        <w:sz w:val="32"/>
      </w:rPr>
    </w:lvl>
    <w:lvl w:ilvl="1" w:tentative="0">
      <w:start w:val="1"/>
      <w:numFmt w:val="chineseCounting"/>
      <w:suff w:val="nothing"/>
      <w:lvlText w:val="（%2）"/>
      <w:lvlJc w:val="left"/>
      <w:pPr>
        <w:ind w:left="0" w:firstLine="0"/>
      </w:pPr>
      <w:rPr>
        <w:rFonts w:hint="eastAsia" w:eastAsia="仿宋"/>
        <w:sz w:val="30"/>
      </w:rPr>
    </w:lvl>
    <w:lvl w:ilvl="2" w:tentative="0">
      <w:start w:val="1"/>
      <w:numFmt w:val="decimal"/>
      <w:suff w:val="nothing"/>
      <w:lvlText w:val="%3."/>
      <w:lvlJc w:val="left"/>
      <w:pPr>
        <w:ind w:left="0" w:firstLine="0"/>
      </w:pPr>
      <w:rPr>
        <w:rFonts w:hint="eastAsia" w:eastAsia="仿宋"/>
        <w:sz w:val="28"/>
      </w:rPr>
    </w:lvl>
    <w:lvl w:ilvl="3" w:tentative="0">
      <w:start w:val="1"/>
      <w:numFmt w:val="decimal"/>
      <w:pStyle w:val="5"/>
      <w:suff w:val="nothing"/>
      <w:lvlText w:val="%3.%4"/>
      <w:lvlJc w:val="left"/>
      <w:pPr>
        <w:ind w:left="0" w:firstLine="0"/>
      </w:pPr>
      <w:rPr>
        <w:rFonts w:hint="eastAsia" w:ascii="仿宋" w:hAnsi="仿宋" w:eastAsia="仿宋" w:cs="宋体"/>
        <w:sz w:val="24"/>
      </w:rPr>
    </w:lvl>
    <w:lvl w:ilvl="4" w:tentative="0">
      <w:start w:val="1"/>
      <w:numFmt w:val="decimal"/>
      <w:pStyle w:val="6"/>
      <w:suff w:val="nothing"/>
      <w:lvlText w:val="%3.%4.%5"/>
      <w:lvlJc w:val="left"/>
      <w:pPr>
        <w:ind w:left="0" w:firstLine="0"/>
      </w:pPr>
      <w:rPr>
        <w:rFonts w:hint="eastAsia" w:ascii="仿宋" w:hAnsi="仿宋" w:eastAsia="仿宋" w:cs="宋体"/>
        <w:sz w:val="24"/>
      </w:rPr>
    </w:lvl>
    <w:lvl w:ilvl="5" w:tentative="0">
      <w:start w:val="1"/>
      <w:numFmt w:val="decimal"/>
      <w:pStyle w:val="7"/>
      <w:suff w:val="nothing"/>
      <w:lvlText w:val="%3.%4.%5.%6"/>
      <w:lvlJc w:val="left"/>
      <w:pPr>
        <w:ind w:left="0" w:firstLine="0"/>
      </w:pPr>
      <w:rPr>
        <w:rFonts w:hint="eastAsia" w:ascii="仿宋" w:hAnsi="仿宋" w:eastAsia="仿宋" w:cs="宋体"/>
        <w:sz w:val="24"/>
      </w:rPr>
    </w:lvl>
    <w:lvl w:ilvl="6" w:tentative="0">
      <w:start w:val="1"/>
      <w:numFmt w:val="decimal"/>
      <w:pStyle w:val="8"/>
      <w:suff w:val="nothing"/>
      <w:lvlText w:val="%3.%4.%5.%6.%7"/>
      <w:lvlJc w:val="left"/>
      <w:pPr>
        <w:ind w:left="0" w:firstLine="0"/>
      </w:pPr>
      <w:rPr>
        <w:rFonts w:hint="eastAsia" w:ascii="仿宋" w:hAnsi="仿宋" w:eastAsia="仿宋" w:cs="宋体"/>
        <w:sz w:val="24"/>
      </w:rPr>
    </w:lvl>
    <w:lvl w:ilvl="7" w:tentative="0">
      <w:start w:val="1"/>
      <w:numFmt w:val="decimal"/>
      <w:pStyle w:val="9"/>
      <w:suff w:val="nothing"/>
      <w:lvlText w:val="%3.%4.%5.%6.%7.%8"/>
      <w:lvlJc w:val="left"/>
      <w:pPr>
        <w:ind w:left="0" w:firstLine="0"/>
      </w:pPr>
      <w:rPr>
        <w:rFonts w:hint="eastAsia" w:ascii="仿宋" w:hAnsi="仿宋" w:eastAsia="仿宋" w:cs="宋体"/>
      </w:rPr>
    </w:lvl>
    <w:lvl w:ilvl="8" w:tentative="0">
      <w:start w:val="1"/>
      <w:numFmt w:val="decimal"/>
      <w:pStyle w:val="10"/>
      <w:suff w:val="nothing"/>
      <w:lvlText w:val="%3.%4.%5.%6.%7.%8.%9 "/>
      <w:lvlJc w:val="left"/>
      <w:pPr>
        <w:ind w:left="0" w:firstLine="0"/>
      </w:pPr>
      <w:rPr>
        <w:rFonts w:hint="eastAsia" w:ascii="仿宋" w:hAnsi="仿宋" w:eastAsia="仿宋" w:cs="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F65BB3"/>
    <w:rsid w:val="09E162A4"/>
    <w:rsid w:val="14917280"/>
    <w:rsid w:val="16305E15"/>
    <w:rsid w:val="19472211"/>
    <w:rsid w:val="1A483566"/>
    <w:rsid w:val="25127A69"/>
    <w:rsid w:val="31B1611B"/>
    <w:rsid w:val="385E0495"/>
    <w:rsid w:val="40094AB4"/>
    <w:rsid w:val="45DB45C9"/>
    <w:rsid w:val="4679046C"/>
    <w:rsid w:val="4C8F6221"/>
    <w:rsid w:val="4EB75FF6"/>
    <w:rsid w:val="57653ABB"/>
    <w:rsid w:val="5826241E"/>
    <w:rsid w:val="58793739"/>
    <w:rsid w:val="674C71D3"/>
    <w:rsid w:val="6F8F2BAE"/>
    <w:rsid w:val="70B04F49"/>
    <w:rsid w:val="7A4867FC"/>
    <w:rsid w:val="7CF65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adjustRightInd w:val="0"/>
      <w:snapToGrid w:val="0"/>
      <w:spacing w:line="640" w:lineRule="exact"/>
      <w:ind w:firstLine="0" w:firstLineChars="0"/>
      <w:jc w:val="center"/>
      <w:outlineLvl w:val="0"/>
    </w:pPr>
    <w:rPr>
      <w:rFonts w:ascii="Times New Roman" w:hAnsi="Times New Roman" w:eastAsia="黑体" w:cs="Times New Roman"/>
      <w:b/>
      <w:bCs/>
      <w:szCs w:val="20"/>
    </w:rPr>
  </w:style>
  <w:style w:type="paragraph" w:styleId="3">
    <w:name w:val="heading 2"/>
    <w:basedOn w:val="1"/>
    <w:next w:val="1"/>
    <w:link w:val="16"/>
    <w:semiHidden/>
    <w:unhideWhenUsed/>
    <w:qFormat/>
    <w:uiPriority w:val="0"/>
    <w:pPr>
      <w:keepNext/>
      <w:keepLines/>
      <w:adjustRightInd w:val="0"/>
      <w:snapToGrid w:val="0"/>
      <w:spacing w:line="640" w:lineRule="exact"/>
      <w:jc w:val="left"/>
      <w:outlineLvl w:val="1"/>
    </w:pPr>
    <w:rPr>
      <w:rFonts w:ascii="Times New Roman" w:hAnsi="Times New Roman" w:eastAsia="楷体_GB2312" w:cs="Times New Roman"/>
      <w:b/>
    </w:rPr>
  </w:style>
  <w:style w:type="paragraph" w:styleId="4">
    <w:name w:val="heading 3"/>
    <w:basedOn w:val="1"/>
    <w:next w:val="1"/>
    <w:link w:val="15"/>
    <w:semiHidden/>
    <w:unhideWhenUsed/>
    <w:qFormat/>
    <w:uiPriority w:val="0"/>
    <w:pPr>
      <w:keepNext/>
      <w:keepLines/>
      <w:adjustRightInd w:val="0"/>
      <w:snapToGrid w:val="0"/>
      <w:spacing w:beforeLines="0" w:afterLines="0" w:line="640" w:lineRule="exact"/>
      <w:jc w:val="left"/>
      <w:outlineLvl w:val="2"/>
    </w:pPr>
    <w:rPr>
      <w:rFonts w:ascii="Times New Roman" w:hAnsi="Times New Roman" w:cs="Times New Roman"/>
      <w:b/>
      <w:bCs/>
    </w:rPr>
  </w:style>
  <w:style w:type="paragraph" w:styleId="5">
    <w:name w:val="heading 4"/>
    <w:basedOn w:val="1"/>
    <w:next w:val="1"/>
    <w:semiHidden/>
    <w:unhideWhenUsed/>
    <w:qFormat/>
    <w:uiPriority w:val="0"/>
    <w:pPr>
      <w:keepNext/>
      <w:keepLines/>
      <w:numPr>
        <w:ilvl w:val="3"/>
        <w:numId w:val="1"/>
      </w:numPr>
      <w:tabs>
        <w:tab w:val="left" w:pos="0"/>
      </w:tab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tabs>
        <w:tab w:val="left" w:pos="0"/>
      </w:tabs>
      <w:spacing w:before="280" w:beforeLines="0" w:beforeAutospacing="0" w:after="290" w:afterLines="0" w:afterAutospacing="0" w:line="372" w:lineRule="auto"/>
      <w:ind w:firstLine="0"/>
      <w:outlineLvl w:val="4"/>
    </w:pPr>
    <w:rPr>
      <w:b/>
      <w:sz w:val="28"/>
    </w:rPr>
  </w:style>
  <w:style w:type="paragraph" w:styleId="7">
    <w:name w:val="heading 6"/>
    <w:basedOn w:val="1"/>
    <w:next w:val="1"/>
    <w:semiHidden/>
    <w:unhideWhenUsed/>
    <w:qFormat/>
    <w:uiPriority w:val="0"/>
    <w:pPr>
      <w:keepNext/>
      <w:keepLines/>
      <w:numPr>
        <w:ilvl w:val="5"/>
        <w:numId w:val="1"/>
      </w:numPr>
      <w:tabs>
        <w:tab w:val="left" w:pos="0"/>
      </w:tabs>
      <w:spacing w:before="240" w:beforeLines="0" w:beforeAutospacing="0" w:after="64" w:afterLines="0" w:afterAutospacing="0" w:line="317" w:lineRule="auto"/>
      <w:ind w:firstLine="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tabs>
        <w:tab w:val="left" w:pos="0"/>
      </w:tabs>
      <w:spacing w:before="240" w:beforeLines="0" w:beforeAutospacing="0" w:after="64" w:afterLines="0" w:afterAutospacing="0" w:line="317" w:lineRule="auto"/>
      <w:ind w:firstLine="0"/>
      <w:outlineLvl w:val="6"/>
    </w:pPr>
    <w:rPr>
      <w:b/>
      <w:sz w:val="24"/>
    </w:rPr>
  </w:style>
  <w:style w:type="paragraph" w:styleId="9">
    <w:name w:val="heading 8"/>
    <w:basedOn w:val="1"/>
    <w:next w:val="1"/>
    <w:semiHidden/>
    <w:unhideWhenUsed/>
    <w:qFormat/>
    <w:uiPriority w:val="0"/>
    <w:pPr>
      <w:keepNext/>
      <w:keepLines/>
      <w:numPr>
        <w:ilvl w:val="7"/>
        <w:numId w:val="1"/>
      </w:numPr>
      <w:tabs>
        <w:tab w:val="left" w:pos="0"/>
      </w:tabs>
      <w:spacing w:before="240" w:beforeLines="0" w:beforeAutospacing="0" w:after="64" w:afterLines="0" w:afterAutospacing="0" w:line="317" w:lineRule="auto"/>
      <w:ind w:firstLine="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tabs>
        <w:tab w:val="left" w:pos="0"/>
      </w:tabs>
      <w:spacing w:before="240" w:beforeLines="0" w:beforeAutospacing="0" w:after="64" w:afterLines="0" w:afterAutospacing="0" w:line="317" w:lineRule="auto"/>
      <w:ind w:firstLine="0"/>
      <w:outlineLvl w:val="8"/>
    </w:pPr>
    <w:rPr>
      <w:rFonts w:ascii="Arial" w:hAnsi="Arial" w:eastAsia="黑体"/>
      <w:sz w:val="21"/>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1">
    <w:name w:val="Normal Indent"/>
    <w:basedOn w:val="1"/>
    <w:next w:val="1"/>
    <w:qFormat/>
    <w:uiPriority w:val="0"/>
    <w:pPr>
      <w:widowControl/>
      <w:ind w:firstLine="420"/>
      <w:jc w:val="left"/>
    </w:pPr>
    <w:rPr>
      <w:kern w:val="0"/>
      <w:sz w:val="20"/>
      <w:szCs w:val="20"/>
    </w:rPr>
  </w:style>
  <w:style w:type="character" w:customStyle="1" w:styleId="14">
    <w:name w:val="标题 1 字符"/>
    <w:link w:val="2"/>
    <w:qFormat/>
    <w:uiPriority w:val="0"/>
    <w:rPr>
      <w:rFonts w:ascii="Times New Roman" w:hAnsi="Times New Roman" w:eastAsia="黑体" w:cs="Times New Roman"/>
      <w:b/>
      <w:bCs/>
      <w:sz w:val="32"/>
      <w:szCs w:val="20"/>
    </w:rPr>
  </w:style>
  <w:style w:type="character" w:customStyle="1" w:styleId="15">
    <w:name w:val="标题 3 字符"/>
    <w:link w:val="4"/>
    <w:qFormat/>
    <w:uiPriority w:val="0"/>
    <w:rPr>
      <w:rFonts w:ascii="Times New Roman" w:hAnsi="Times New Roman" w:eastAsia="仿宋_GB2312" w:cs="Times New Roman"/>
      <w:b/>
      <w:bCs/>
      <w:kern w:val="2"/>
      <w:sz w:val="32"/>
      <w:szCs w:val="32"/>
      <w:lang w:val="en-US" w:eastAsia="zh-CN" w:bidi="ar-SA"/>
    </w:rPr>
  </w:style>
  <w:style w:type="character" w:customStyle="1" w:styleId="16">
    <w:name w:val="标题 2 字符"/>
    <w:link w:val="3"/>
    <w:qFormat/>
    <w:uiPriority w:val="0"/>
    <w:rPr>
      <w:rFonts w:ascii="Times New Roman" w:hAnsi="Times New Roman" w:eastAsia="楷体_GB2312" w:cs="Times New Roman"/>
      <w:b/>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2026-07-22T09:43:00Z</dcterms:created>
  <dc:creator>郭媛媛</dc:creator>
  <cp:lastModifiedBy>郭媛媛</cp:lastModifiedBy>
  <dcterms:modified xsi:type="dcterms:W3CDTF">2026-07-22T09:44:38Z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C3B75BB3C8064FD0AE5741FF4183DC9F_11</vt:lpwstr>
  </property>
  <property fmtid="{D5CDD505-2E9C-101B-9397-08002B2CF9AE}" pid="4" name="KSOTemplateDocerSaveRecord">
    <vt:lpwstr>eyJoZGlkIjoiZTUyYzkwMjM4NGE5OTNmYTgyZGY3NTY2NGNhMDgyMTIiLCJ1c2VySWQiOiIzMTQ3MzY5NTgifQ==</vt:lpwstr>
  </property>
</Properties>
</file>